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21D4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ПЪТИЩАТА</w:t>
      </w:r>
    </w:p>
    <w:p w:rsidR="00000000" w:rsidRDefault="009E21D4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.14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2023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краткотраен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трамвайни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локално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краткотраен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въздушното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нерегулирани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успоредно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бордюр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енергозахранващите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снегозащитните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перпендикулярно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ничителната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хоризонтално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перпендикулярно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препятствия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уширените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широчината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договаряне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клаузи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неблагоприятен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водотоплинен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настилката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уширените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сегменти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сбора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сегменти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водачът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01.08.2023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телефонен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01.08.2023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едомяваното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01.08.2023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01.08.2023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01.08.2023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предпоставка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ангажиране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1999/62/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тежкотоварни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1999/62/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2004/52/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паралелни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алтернативни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дискри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Неотложната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въоръжените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практическото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маршрутна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самотаксуване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самотаксуване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пускателни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протежение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софтуерно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софтуерно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(*)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диференцират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уикенд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уикенд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символ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товерителни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01.06.2023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01.06.2023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двудневен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01.06.2023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(*)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(*)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къмпинг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полуремаркето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прикачен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прикачено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прикаченото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24.11.2009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диференцират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еднократна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маршрутна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маршрут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маршрутната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маршрутната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отсечка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маршрут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протежението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IV",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"EEV".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незаплатените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маршрутна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незаплатените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сегменти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потвърждението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01.07.2009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ружеска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117,64 kW (160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загубва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конвенция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ремаркета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пристигнало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пристигнало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напусне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27.09.2016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пристигнало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пропускателен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интермодален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терминал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комбиниран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Смесената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EN ISO 9001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IV,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2009/750/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268/11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стабилност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Помирителна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Помирителната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Помирителнат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спрямо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недискриминационни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коректно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позициониране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позициониране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трафик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егията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препоръки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средносрочна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ентности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инициативи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наричана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седалище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средносрочните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взаимодейства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стихийни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крупни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целенасочени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оставчиците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Доставчици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ЕУЕСТ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корпоративни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запрещение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осъждано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съдружник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лишавано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несъвместимо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спецификации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предстоящия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предстоящата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мнозинство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въпроси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якакво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назъбени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грайфери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шипове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асфалтови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снегопочистване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мокри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наводняват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непочистени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замърсяването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влаченето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каквато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предупредителната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минимум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предупредителната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вертикална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Отстоянията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изкореняването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косенето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възпоменателни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кариерни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извънгабаритни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15.04.2016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внезапни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извънгабаритното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габаритните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извънгабаритни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разрешаващия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габаритните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16.10.2009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теглото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натоварване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габарит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"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15.04.2016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15.04.2016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15.04.2016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15.04.2016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15.04.2016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15.04.20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15.04.2016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15.04.2016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15.04.2016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15.04.2016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30. (1)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15.04.2016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06.02.2015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велосипедните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паркингите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06.02.2015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06.02.2015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постигната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споразумителен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Изместването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кръстовища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второстепенното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прелези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целенасочени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2004/54/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ефективност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улици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визуален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съотнесено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ялостна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целенасочени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сравнителен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истематична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неразделна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непосредствено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преподавателска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изследователска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развойна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инженер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съгласувана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веднъж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кзекутивната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предпоставките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вследствие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неправомерни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обезопасяване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пощенски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федерация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Швейцария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легализиран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непълнотата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неистински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светофари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акредитирано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обуче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еквивалентни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Целенасочена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недостатъци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проблеми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наранявания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коригиращи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Целенасочените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екипа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недостатъците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20.03.2022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иодични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2004/54/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15.04.2016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стихийни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бедствия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обходе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15.04.2016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водоотводните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интензивни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снегонавявания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снегозащитни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ФИНАНСИРАНЕ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субсидии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привлечени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приоритети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научноизследователски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разработки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принципите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1999/62/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субсидии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повишаване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осма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АДМИНИСТРАТИВНОНАКАЗАТЕЛНИ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изкореняване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косене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паша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опожаряване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растителността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непочистени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мокри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овлажнява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насипни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влачене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верижни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снегопочистване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нанасяне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унищожаване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извънгабаритни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опасни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застрашаващи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отклоняване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прокарване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телеграфни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електропроводни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водопроводи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кариери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солидарно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причинените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недължимо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Недължимо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недължимо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невярно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16.10.2009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деянието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еписката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прокурора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възбуждане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преследване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незабавно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извлечения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демонтира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демонтира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продължаващо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прекъсва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демонтира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демонтираните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демонтирането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потърсени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Демонтираните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потърсени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демонтаж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пригодена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тротоарите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направляващите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острови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отводнителни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откосите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бермите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конструктивни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водостоците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виадуктите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естакадите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декоративните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укрепителните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водоотвеждащите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маркировка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светофарните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автономните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телефонни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колонки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чешми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краткотраен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енергозах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осветителните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направляващите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стълбчета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снегозащитните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регулиране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встрани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обичайното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общоприетите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придвижване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пешеходци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извънгабаритни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9.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повърхности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зположените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отдих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къмпинги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бензиностанции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магазини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аварирали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10.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проучването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12.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разширяването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ернизирането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преждевременно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износване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15.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16.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Стабилизиран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покритие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затревяване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IV",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VI", "EEV"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Трансевропейска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1315/2013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661/2010/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реконструкция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рехабилитация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концентрация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произшествия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предизвикали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смърт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вградената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съвкупност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отглеждащи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увреждания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осиновител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осиновители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роднини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настойник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попечител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неизвестни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починали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родителски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стандартизирана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уникален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уникален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географска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референтна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сегмент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сегмент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безналично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сегмент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индивидуализиран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сегмента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2019/1936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2008/96/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305/1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33, 130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23, 56, 64, 67,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Заглавието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начисляват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бензини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дизеловото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мазута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оловни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бензини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бензин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-91 -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бензин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-98 -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газьол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бензини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дизелово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промишлен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газьол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мазут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начисляват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реализираните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количества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оформяне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Купувачите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доставките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набирането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Заинтересуваното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генерално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парцеларен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19."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26.1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26.2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обсъждане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."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-------------------------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ХХХ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VIII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подпечатан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моторни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изравнява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вместо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Дунав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Гюргево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5, §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§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§ 78, § 79, §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1 - 4, §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107, §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125, § 128,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34, §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§ 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КОНЦЕСИИТЕ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второстепенен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неизползвани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разписание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- 307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502 - 507;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60,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1999/62/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2006/38/EC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IV",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второстепенен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ДАНЪЧНО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ОСИГУРИТЕЛНИЯ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01.05.2009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65,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2 - 10, §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3, § 13 - 22, § 24 - 35, §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1 - 4, § 37 - 51, § 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53 - 64,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ЗДРАВЕТО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02.06.2009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3, 5, 6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26, 36, 38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39, 40, 41, 42, 43, 44, 65, 66, 69, 70, 73, 77, 78, 79, 80, 81, 82, 83, 88,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баланса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РАЗВИТИЕ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16.10.2009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24.11.2009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2, 21, 36, 39, 41, 44, 45, 49, 50, 51, 53, 55, 56, 57, 59, 62, 63, 64, 65, 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2008/96/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L 319/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.).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тунели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съвпадат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Кохезионния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бенефициент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подготовката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неизградената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Хемус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Ябланица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северно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-7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Румъния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Силистра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Шумен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Върбица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Ямбол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100.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СЛУЖИТЕЛ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84.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18.05.2012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радиото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телевизията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разузнавателните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престъпна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конфликт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Класификатора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заеманата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извънбюджетната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емеделие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здравноосигурителна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Неизползваните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отпуски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индивидуалната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брутната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полагащата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основна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отработеното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заварените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Криминална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подзаконови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зачита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рекламни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комплекси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ОТПАДЪЦИТЕ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13.07.2012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ФИНАНСИ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18, § 114, § 120, § 121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36, 64, 102,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32, 41, 42, 75,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19, 39,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44,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2011/76/E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1999/62/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ежкотоварни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L 269/1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36, 64, 102,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32, 41, 42, 75,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39,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44,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06.02.2015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ОХРАНА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01.11.2015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СЧЕТОВОДСТВОТО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48 - 52,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22.12.2015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15.04.2016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пасиви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9. (1)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неусвоената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трансфер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5,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ІІ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Хемус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2007 - 2013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2014 - 2020,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упълномощени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изпълнителния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Хемус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автомагистрала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2007 - 2013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2014 - 2020",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бенефициента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2007 - 2013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програма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- 2020",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Кохезионния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бенефициент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Стратегическ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КОРПОРАТИВНОТО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ПОДОХОДНО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ОБЛАГАНЕ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2, 8, 9, 10, 17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КОНЦЕСИИТЕ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28.09.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стикери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IV",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V", "EEV"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екологична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IV",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V", "EEV"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оригинал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V9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/EURO III, IV, 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"EEV",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Резолюция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СЕМТ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(2001)9Final,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Резолюция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(2005)9 FINAL,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Резолюци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ITF/TMB/TR(2008)12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/EURO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първоначална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стикери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валидизират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перфорират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валидизирането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перфорирането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23.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стикер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стикер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стикер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хартиения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стикер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компенсаторна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премахват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залепената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стъклото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стикер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28.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мобилно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видеонаблюдение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§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винетните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6510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81"/>
        <w:gridCol w:w="2418"/>
        <w:gridCol w:w="171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Максимум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три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оси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Минимум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четири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ЕВРО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1 407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2 359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ЕВРО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І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1 223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2 042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ЕВРО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ІІ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1 065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1 776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ЕВРО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ІІІ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926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1 543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ЕВРО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І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V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</w:p>
          <w:p w:rsidR="00000000" w:rsidRDefault="009E21D4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малко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замърсяващи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842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1 404</w:t>
            </w:r>
          </w:p>
        </w:tc>
      </w:tr>
    </w:tbl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пропорционални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продължителността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валидност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превозни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допустима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2, §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19.03.2021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Одиторите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списъка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цялостна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противоречи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18 -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ПЪТИЩАТА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10.02.2023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август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999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72"/>
        <w:gridCol w:w="3172"/>
        <w:gridCol w:w="364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Екологични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категории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моторните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превозни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ind w:firstLine="283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Превозно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средство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ЕВРО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ind w:firstLine="283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88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Маса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въглеродния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оксид</w:t>
            </w:r>
          </w:p>
          <w:p w:rsidR="00000000" w:rsidRDefault="009E21D4">
            <w:pPr>
              <w:spacing w:before="100" w:beforeAutospacing="1" w:after="100" w:afterAutospacing="1" w:line="288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), g/kWh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88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Маса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въглеводородите</w:t>
            </w:r>
          </w:p>
          <w:p w:rsidR="00000000" w:rsidRDefault="009E21D4">
            <w:pPr>
              <w:spacing w:before="100" w:beforeAutospacing="1" w:after="100" w:afterAutospacing="1" w:line="288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(HC), g/kWh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88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Маса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азотните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оксиди</w:t>
            </w:r>
          </w:p>
          <w:p w:rsidR="00000000" w:rsidRDefault="009E21D4">
            <w:pPr>
              <w:spacing w:before="100" w:beforeAutospacing="1" w:after="100" w:afterAutospacing="1" w:line="288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(NOx), g/kWh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88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12,3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88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2,6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88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3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88" w:lineRule="atLeast"/>
              <w:ind w:firstLine="283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Превозно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средство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ЕВРО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I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II</w:t>
            </w:r>
          </w:p>
        </w:tc>
      </w:tr>
    </w:tbl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28"/>
        <w:gridCol w:w="2192"/>
        <w:gridCol w:w="1843"/>
        <w:gridCol w:w="2097"/>
        <w:gridCol w:w="19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Маса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въглеродния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оксид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),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g/kWh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Маса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въгле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-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водородите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(HC),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g/kWh</w:t>
            </w:r>
          </w:p>
        </w:tc>
        <w:tc>
          <w:tcPr>
            <w:tcW w:w="2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Маса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азотните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оксиди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(N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x),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g/kWh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Маса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праховите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частици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),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g/kWh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ПС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ЕВРО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I"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1,23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ind w:left="57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0,4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  <w:vertAlign w:val="superscript"/>
              </w:rPr>
              <w:t>(1)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ПС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ЕВРО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II"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ind w:right="113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1,1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0,15</w:t>
            </w:r>
          </w:p>
        </w:tc>
      </w:tr>
    </w:tbl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(1)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Коефициент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1,7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емисионните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прахови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 kW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spacing w:before="113" w:after="100" w:afterAutospacing="1" w:line="269" w:lineRule="atLeast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tbl>
      <w:tblPr>
        <w:tblW w:w="100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ind w:firstLine="283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Превозни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средства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ЕВРО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III"/"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ЕВРО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IV"/"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ЕВРО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V"/"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ЕВРО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VI"/"EEV"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0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3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ind w:firstLine="283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Специфичната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маса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въглеродния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оксид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общата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маса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въглеводородите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азотните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оксиди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праховите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частици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непрозрачността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отработилия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газ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броят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праховите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частици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трябва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да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превишават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следните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стойности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: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  <w:vertAlign w:val="superscript"/>
              </w:rPr>
              <w:t>(1)</w:t>
            </w:r>
          </w:p>
        </w:tc>
      </w:tr>
    </w:tbl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tbl>
      <w:tblPr>
        <w:tblW w:w="994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5"/>
        <w:gridCol w:w="1586"/>
        <w:gridCol w:w="2067"/>
        <w:gridCol w:w="1212"/>
        <w:gridCol w:w="1418"/>
        <w:gridCol w:w="1499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lastRenderedPageBreak/>
              <w:t> 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Маса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въглеродния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оксид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СО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),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g/kWh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Маса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въглеводородите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(HC),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g/kWh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Маса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азотните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оксиди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(NOx),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g/kWh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Маса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праховите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частици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РТ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),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g/kWh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Отработен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газ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, m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  <w:vertAlign w:val="superscript"/>
              </w:rPr>
              <w:t>-1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Брой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праховите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частици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2"/>
                <w:szCs w:val="2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#/kWh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ЕВРО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III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2,1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0,66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ind w:left="113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0,10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  <w:vertAlign w:val="superscript"/>
              </w:rPr>
              <w:t>(2)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0,8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ЕВРО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IV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1,5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0,46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3,5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0,02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0,5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ЕВРО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1,5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0,46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0,02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0,5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ЕВРО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VI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1,5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0,13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0,4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0,01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8 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х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 xml:space="preserve"> 10</w:t>
            </w: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  <w:vertAlign w:val="superscript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EEV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1,5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0,25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2,0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0,02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 w:line="262" w:lineRule="atLeast"/>
              <w:jc w:val="center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0,15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EFEFE"/>
            <w:tcMar>
              <w:top w:w="60" w:type="dxa"/>
              <w:bottom w:w="0" w:type="dxa"/>
            </w:tcMar>
            <w:vAlign w:val="center"/>
          </w:tcPr>
          <w:p w:rsidR="00000000" w:rsidRDefault="009E21D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6"/>
                <w:szCs w:val="6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white"/>
                <w:shd w:val="clear" w:color="auto" w:fill="FEFEFE"/>
              </w:rPr>
              <w:t> </w:t>
            </w:r>
          </w:p>
        </w:tc>
      </w:tr>
    </w:tbl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(1)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Специфичната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въглеродния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оксид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въглеводородите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азотните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оксиди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праховите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ESC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IV",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"EEV"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WHSC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Непрозрачността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отработилия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ELR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IV",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"EEV".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праховите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WHSC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VI".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III",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IV",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"EEV"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скорост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въртящ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режим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(E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SC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неустановени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ELR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изпитвания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(2)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двигатели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цилиндъра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0,7 dm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номиналната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честота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въртене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3000 min</w:t>
      </w:r>
      <w:r>
        <w:rPr>
          <w:rFonts w:eastAsia="Times New Roman"/>
          <w:sz w:val="24"/>
          <w:szCs w:val="24"/>
          <w:highlight w:val="white"/>
          <w:shd w:val="clear" w:color="auto" w:fill="FEFEFE"/>
          <w:vertAlign w:val="superscript"/>
        </w:rPr>
        <w:t>-1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Релевантни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законодателство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Д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ирективи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2019/1936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2008/96/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инфраструктури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2011/76/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1999/62/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тежкотоварни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инфраструктури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2008/96/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инфраструктури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2006/38/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1999/62/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тежкотоварни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инфраструктури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2004/52/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оперативната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Общността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1999/62/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тежкотоварни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инфраструктури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Регламенти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1791/2006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адаптиране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конкуренция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ветеринарно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фитосанитарно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статистиката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енергетиката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митническия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Румъния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851/2006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указани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1108/70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2598/70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позициите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рубрики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показани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e I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1108/70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отм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ЕИО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1108/70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счетоводна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връзка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автомобилния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вътрешноводен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Решения</w:t>
      </w:r>
      <w:r>
        <w:rPr>
          <w:rFonts w:eastAsia="Times New Roman"/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9E21D4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2009/750/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изминато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разстоян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нейните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нотифицирано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C(2009) 7547)</w:t>
      </w:r>
    </w:p>
    <w:p w:rsidR="009E21D4" w:rsidRDefault="009E21D4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1692/96/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общностните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насоки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трансевропейска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color w:val="FF0000"/>
          <w:highlight w:val="white"/>
          <w:shd w:val="clear" w:color="auto" w:fill="FEFEFE"/>
        </w:rPr>
        <w:t>Дата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изтичане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валидн</w:t>
      </w:r>
      <w:r>
        <w:rPr>
          <w:rFonts w:eastAsia="Times New Roman"/>
          <w:color w:val="FF0000"/>
          <w:highlight w:val="white"/>
          <w:shd w:val="clear" w:color="auto" w:fill="FEFEFE"/>
        </w:rPr>
        <w:t>остта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: 24.08.2010 </w:t>
      </w:r>
      <w:r>
        <w:rPr>
          <w:rFonts w:eastAsia="Times New Roman"/>
          <w:color w:val="FF0000"/>
          <w:highlight w:val="white"/>
          <w:shd w:val="clear" w:color="auto" w:fill="FEFEFE"/>
        </w:rPr>
        <w:t>г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</w:t>
      </w:r>
    </w:p>
    <w:sectPr w:rsidR="009E21D4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53"/>
    <w:rsid w:val="00980F53"/>
    <w:rsid w:val="009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FD3C62F-9F98-4654-8954-53E189A5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28808</Words>
  <Characters>164207</Characters>
  <Application>Microsoft Office Word</Application>
  <DocSecurity>0</DocSecurity>
  <Lines>1368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GEORGIEVA GYURDZHEKLIEVA</dc:creator>
  <cp:keywords/>
  <dc:description/>
  <cp:lastModifiedBy>DANIELA GEORGIEVA GYURDZHEKLIEVA</cp:lastModifiedBy>
  <cp:revision>2</cp:revision>
  <dcterms:created xsi:type="dcterms:W3CDTF">2023-03-15T08:31:00Z</dcterms:created>
  <dcterms:modified xsi:type="dcterms:W3CDTF">2023-03-15T08:31:00Z</dcterms:modified>
</cp:coreProperties>
</file>